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0C" w:rsidRPr="0083567E" w:rsidRDefault="006F320C" w:rsidP="0083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 w:themeColor="text1"/>
          <w:sz w:val="44"/>
          <w:szCs w:val="44"/>
        </w:rPr>
      </w:pPr>
      <w:r w:rsidRPr="0083567E">
        <w:rPr>
          <w:rFonts w:ascii="LiberationSerif-Bold" w:hAnsi="LiberationSerif-Bold" w:cs="LiberationSerif-Bold"/>
          <w:b/>
          <w:bCs/>
          <w:color w:val="000000" w:themeColor="text1"/>
          <w:sz w:val="44"/>
          <w:szCs w:val="44"/>
        </w:rPr>
        <w:t>Le P’</w:t>
      </w:r>
      <w:r w:rsidRPr="0083567E">
        <w:rPr>
          <w:rFonts w:ascii="LiberationSerif-Bold" w:hAnsi="LiberationSerif-Bold" w:cs="LiberationSerif-Bold"/>
          <w:b/>
          <w:bCs/>
          <w:color w:val="000000" w:themeColor="text1"/>
          <w:sz w:val="44"/>
          <w:szCs w:val="44"/>
        </w:rPr>
        <w:t>tit Tour USEP 2018</w:t>
      </w:r>
    </w:p>
    <w:p w:rsidR="006F320C" w:rsidRDefault="006F320C" w:rsidP="006F32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818181"/>
          <w:sz w:val="44"/>
          <w:szCs w:val="4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818181"/>
          <w:sz w:val="44"/>
          <w:szCs w:val="44"/>
        </w:rPr>
      </w:pPr>
      <w:r>
        <w:rPr>
          <w:rFonts w:ascii="LiberationSerif" w:hAnsi="LiberationSerif" w:cs="LiberationSerif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E016485" wp14:editId="167A3E07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085975" cy="20523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Doub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Depuis l’</w:t>
      </w:r>
      <w:r>
        <w:rPr>
          <w:rFonts w:ascii="LiberationSerif" w:hAnsi="LiberationSerif" w:cs="LiberationSerif"/>
          <w:color w:val="000000"/>
          <w:sz w:val="24"/>
          <w:szCs w:val="24"/>
        </w:rPr>
        <w:t>année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dernière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, l’USEP 25 s’engage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dans </w:t>
      </w:r>
      <w:r>
        <w:rPr>
          <w:rFonts w:ascii="LiberationSerif" w:hAnsi="LiberationSerif" w:cs="LiberationSerif"/>
          <w:color w:val="000000"/>
          <w:sz w:val="24"/>
          <w:szCs w:val="24"/>
        </w:rPr>
        <w:t>l’opération nationale « Le P’</w:t>
      </w:r>
      <w:r>
        <w:rPr>
          <w:rFonts w:ascii="LiberationSerif" w:hAnsi="LiberationSerif" w:cs="LiberationSerif"/>
          <w:color w:val="000000"/>
          <w:sz w:val="24"/>
          <w:szCs w:val="24"/>
        </w:rPr>
        <w:t>tit Tour USEP » qui  fête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sa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vingt-deuxième </w:t>
      </w:r>
      <w:r>
        <w:rPr>
          <w:rFonts w:ascii="LiberationSerif" w:hAnsi="LiberationSerif" w:cs="LiberationSerif"/>
          <w:color w:val="000000"/>
          <w:sz w:val="24"/>
          <w:szCs w:val="24"/>
        </w:rPr>
        <w:t>année d’</w:t>
      </w:r>
      <w:r>
        <w:rPr>
          <w:rFonts w:ascii="LiberationSerif" w:hAnsi="LiberationSerif" w:cs="LiberationSerif"/>
          <w:color w:val="000000"/>
          <w:sz w:val="24"/>
          <w:szCs w:val="24"/>
        </w:rPr>
        <w:t>existence en 2018</w:t>
      </w:r>
      <w:r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Il s’agit d’une manifestation inscrite au ca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lendrier national et déclinée à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l’échelle départementale. 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Elle concerne to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utes les classes affiliées dans </w:t>
      </w:r>
      <w:r>
        <w:rPr>
          <w:rFonts w:ascii="LiberationSerif" w:hAnsi="LiberationSerif" w:cs="LiberationSerif"/>
          <w:color w:val="000000"/>
          <w:sz w:val="24"/>
          <w:szCs w:val="24"/>
        </w:rPr>
        <w:t>le Doubs, de la maternelle au CM2.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Elle se distingue, toutefois, d’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une rencontre </w:t>
      </w:r>
      <w:r>
        <w:rPr>
          <w:rFonts w:ascii="LiberationSerif" w:hAnsi="LiberationSerif" w:cs="LiberationSerif"/>
          <w:color w:val="000000"/>
          <w:sz w:val="24"/>
          <w:szCs w:val="24"/>
        </w:rPr>
        <w:t>ordinaire.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Son objectif principal est de permettre au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x classes engagées de mettre en œuvre un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déplacement. 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Ce déplacement est orienté vers la rencontre d’une ou plusieurs classes d’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autres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écoles et autour d’un but ou d’un projet commun de valorisation du patrimoine local. 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Le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parcours proposé est adapté à l’âge des enfants concernés.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339AFF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339AFF"/>
          <w:sz w:val="32"/>
          <w:szCs w:val="32"/>
        </w:rPr>
        <w:t>À vélo, à pied, à roller, à trottinette….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 déplacement est organisé sur une journée ou une demi-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journée par un moyen qui semble </w:t>
      </w:r>
      <w:r>
        <w:rPr>
          <w:rFonts w:ascii="LiberationSerif" w:hAnsi="LiberationSerif" w:cs="LiberationSerif"/>
          <w:color w:val="000000"/>
          <w:sz w:val="24"/>
          <w:szCs w:val="24"/>
        </w:rPr>
        <w:t>pertinent au regard des objectifs et du contexte. On cherchera à privilégier le vélo au cycle 3.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D’autres moyens peuvent être utilisés : parcours pédestre, roller, trottinette...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0000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0000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FF0000"/>
          <w:sz w:val="32"/>
          <w:szCs w:val="32"/>
        </w:rPr>
        <w:t>Aucun frais de déplacement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La participation ne doit engager aucun frais de déplacement en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bus. Les classes participantes </w:t>
      </w:r>
      <w:r>
        <w:rPr>
          <w:rFonts w:ascii="LiberationSerif" w:hAnsi="LiberationSerif" w:cs="LiberationSerif"/>
          <w:color w:val="000000"/>
          <w:sz w:val="24"/>
          <w:szCs w:val="24"/>
        </w:rPr>
        <w:t>doivent partir de leur école, ou d’un lieu proche et y revenir. Cette j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ournée est placée sous le signe </w:t>
      </w:r>
      <w:r>
        <w:rPr>
          <w:rFonts w:ascii="LiberationSerif" w:hAnsi="LiberationSerif" w:cs="LiberationSerif"/>
          <w:color w:val="000000"/>
          <w:sz w:val="24"/>
          <w:szCs w:val="24"/>
        </w:rPr>
        <w:t>de la limitation du cout carbone.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  <w:t>En sécurité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parcours devront offrir les meilleures conditions de séc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urité pour les participants. On </w:t>
      </w:r>
      <w:r>
        <w:rPr>
          <w:rFonts w:ascii="LiberationSerif" w:hAnsi="LiberationSerif" w:cs="LiberationSerif"/>
          <w:color w:val="000000"/>
          <w:sz w:val="24"/>
          <w:szCs w:val="24"/>
        </w:rPr>
        <w:t>privilégiera les parcours protégés de la circulation automobile.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L’encadrement devra se conformer aux règlementations en vigueur.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Les classes participant à vélo </w:t>
      </w:r>
      <w:r>
        <w:rPr>
          <w:rFonts w:ascii="LiberationSerif" w:hAnsi="LiberationSerif" w:cs="LiberationSerif"/>
          <w:color w:val="000000"/>
          <w:sz w:val="24"/>
          <w:szCs w:val="24"/>
        </w:rPr>
        <w:t>devront s’assurer qu’elles disposent d’un accompagnateur agréé pour 6 élèves (enseignant compris).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parcours font l’objet d’une reconnaissance préalable.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</w:pP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  <w:lastRenderedPageBreak/>
        <w:t>Se regrouper autour d’un but commun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Des classes d’écoles proches se regroupent autour d’un même but. Il peut être finalisé par un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regroupement lors du temps de midi, une partie de parcours en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commun, un thème de travail en </w:t>
      </w:r>
      <w:r>
        <w:rPr>
          <w:rFonts w:ascii="LiberationSerif" w:hAnsi="LiberationSerif" w:cs="LiberationSerif"/>
          <w:color w:val="000000"/>
          <w:sz w:val="24"/>
          <w:szCs w:val="24"/>
        </w:rPr>
        <w:t>commun.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9A9A9A"/>
          <w:sz w:val="32"/>
          <w:szCs w:val="32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70C0"/>
          <w:sz w:val="32"/>
          <w:szCs w:val="32"/>
        </w:rPr>
      </w:pPr>
      <w:r w:rsidRPr="0083567E">
        <w:rPr>
          <w:rFonts w:ascii="LiberationSerif-Bold" w:hAnsi="LiberationSerif-Bold" w:cs="LiberationSerif-Bold"/>
          <w:b/>
          <w:bCs/>
          <w:color w:val="0070C0"/>
          <w:sz w:val="32"/>
          <w:szCs w:val="32"/>
        </w:rPr>
        <w:t>Un projet collaboratif et associatif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élèves doivent être fortement associés à la préparation de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cette journée : préparation de </w:t>
      </w:r>
      <w:r>
        <w:rPr>
          <w:rFonts w:ascii="LiberationSerif" w:hAnsi="LiberationSerif" w:cs="LiberationSerif"/>
          <w:color w:val="000000"/>
          <w:sz w:val="24"/>
          <w:szCs w:val="24"/>
        </w:rPr>
        <w:t>l’itinéraire, organisation du déplacement, préparation matérielle, ge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stion des repas et des déchets, </w:t>
      </w:r>
      <w:r>
        <w:rPr>
          <w:rFonts w:ascii="LiberationSerif" w:hAnsi="LiberationSerif" w:cs="LiberationSerif"/>
          <w:color w:val="000000"/>
          <w:sz w:val="24"/>
          <w:szCs w:val="24"/>
        </w:rPr>
        <w:t>prise en charge de la sécurité….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classes qui participent à un même projet doivent avoir établi un lien par une correspondance.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Des parents et accompagnateurs bénévoles sont associés à la journée.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3333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3333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FF3333"/>
          <w:sz w:val="32"/>
          <w:szCs w:val="32"/>
        </w:rPr>
        <w:t>Un fil rouge : Valoriser un patrimoine local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 but de la journée doit contribuer à faire connaitre et/ou valoriser un élément du patrimoine local.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classes devront produire un support média qui sera mis en l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igne sur le site USEP. Il devra </w:t>
      </w:r>
      <w:r>
        <w:rPr>
          <w:rFonts w:ascii="LiberationSerif" w:hAnsi="LiberationSerif" w:cs="LiberationSerif"/>
          <w:color w:val="000000"/>
          <w:sz w:val="24"/>
          <w:szCs w:val="24"/>
        </w:rPr>
        <w:t>rendre compte d’un aspect patrimonial de nature historique, géographique, culturelle, sociale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, </w:t>
      </w:r>
      <w:r>
        <w:rPr>
          <w:rFonts w:ascii="LiberationSerif" w:hAnsi="LiberationSerif" w:cs="LiberationSerif"/>
          <w:color w:val="000000"/>
          <w:sz w:val="24"/>
          <w:szCs w:val="24"/>
        </w:rPr>
        <w:t>industrielle, artisanale…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La production sera accessible à toutes les classes participantes. Elle peut prendre la forme d’</w:t>
      </w:r>
      <w:r>
        <w:rPr>
          <w:rFonts w:ascii="LiberationSerif" w:hAnsi="LiberationSerif" w:cs="LiberationSerif"/>
          <w:color w:val="000000"/>
          <w:sz w:val="24"/>
          <w:szCs w:val="24"/>
        </w:rPr>
        <w:t>un texte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, d’images, d’enregistrements </w:t>
      </w:r>
      <w:r>
        <w:rPr>
          <w:rFonts w:ascii="LiberationSerif" w:hAnsi="LiberationSerif" w:cs="LiberationSerif"/>
          <w:color w:val="000000"/>
          <w:sz w:val="24"/>
          <w:szCs w:val="24"/>
        </w:rPr>
        <w:t>vidéo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et/ou </w:t>
      </w:r>
      <w:r>
        <w:rPr>
          <w:rFonts w:ascii="LiberationSerif" w:hAnsi="LiberationSerif" w:cs="LiberationSerif"/>
          <w:color w:val="000000"/>
          <w:sz w:val="24"/>
          <w:szCs w:val="24"/>
        </w:rPr>
        <w:t>audio</w:t>
      </w:r>
      <w:r>
        <w:rPr>
          <w:rFonts w:ascii="LiberationSerif" w:hAnsi="LiberationSerif" w:cs="LiberationSerif"/>
          <w:color w:val="000000"/>
          <w:sz w:val="24"/>
          <w:szCs w:val="24"/>
        </w:rPr>
        <w:t>. Elle doit refl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éter une réelle prise en charge </w:t>
      </w:r>
      <w:r>
        <w:rPr>
          <w:rFonts w:ascii="LiberationSerif" w:hAnsi="LiberationSerif" w:cs="LiberationSerif"/>
          <w:color w:val="000000"/>
          <w:sz w:val="24"/>
          <w:szCs w:val="24"/>
        </w:rPr>
        <w:t>par les élèves.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669A00"/>
          <w:sz w:val="32"/>
          <w:szCs w:val="32"/>
        </w:rPr>
        <w:t>Étendre son espace connu et ses représentations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Les élèves doivent pouvoir travailler et développer des compétenc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es spatiales. Ils doivent avoir </w:t>
      </w:r>
      <w:r>
        <w:rPr>
          <w:rFonts w:ascii="LiberationSerif" w:hAnsi="LiberationSerif" w:cs="LiberationSerif"/>
          <w:color w:val="000000"/>
          <w:sz w:val="24"/>
          <w:szCs w:val="24"/>
        </w:rPr>
        <w:t>l’occasion de renforcer les liens plus forts entre les espaces réels et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leurs représentations (cartes, </w:t>
      </w:r>
      <w:r>
        <w:rPr>
          <w:rFonts w:ascii="LiberationSerif" w:hAnsi="LiberationSerif" w:cs="LiberationSerif"/>
          <w:color w:val="000000"/>
          <w:sz w:val="24"/>
          <w:szCs w:val="24"/>
        </w:rPr>
        <w:t>photos, vues satellites).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FF9A00"/>
          <w:sz w:val="32"/>
          <w:szCs w:val="32"/>
        </w:rPr>
        <w:t>Une date choisie entre participants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La date re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tenue, doit se situer entre le </w:t>
      </w:r>
      <w:r w:rsidRPr="006F320C">
        <w:rPr>
          <w:rFonts w:ascii="LiberationSerif" w:hAnsi="LiberationSerif" w:cs="LiberationSerif"/>
          <w:b/>
          <w:color w:val="000000"/>
          <w:sz w:val="24"/>
          <w:szCs w:val="24"/>
          <w:highlight w:val="yellow"/>
        </w:rPr>
        <w:t>1er mai et le 30 juin 2018</w:t>
      </w:r>
      <w:r>
        <w:rPr>
          <w:rFonts w:ascii="LiberationSerif" w:hAnsi="LiberationSerif" w:cs="LiberationSerif"/>
          <w:color w:val="000000"/>
          <w:sz w:val="24"/>
          <w:szCs w:val="24"/>
        </w:rPr>
        <w:t>. C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e sera la seule contrainte. Les </w:t>
      </w:r>
      <w:r>
        <w:rPr>
          <w:rFonts w:ascii="LiberationSerif" w:hAnsi="LiberationSerif" w:cs="LiberationSerif"/>
          <w:color w:val="000000"/>
          <w:sz w:val="24"/>
          <w:szCs w:val="24"/>
        </w:rPr>
        <w:t>classes doivent s’entendre pour définir une date qui leur convient.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6F320C" w:rsidRDefault="006F320C" w:rsidP="0083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Le rôle de l’USEP 25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>Les animateurs USEP (délégué, salarié, stagiaire, CPC) s’engagent à faciliter les initiatives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>locales et favorisent les rapprochements d’écoles. Ils peuve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 xml:space="preserve">nt les solliciter en mettant en 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>relation des écoles proches, ou qui peuvent être concernées par un même thème.</w:t>
      </w: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>Ils apportent un soutien pour repérer les potentialités locale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 xml:space="preserve">s et élaborer les parcours. Ils 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>aident à la finalisation du parcours et aux prises de décisions.</w:t>
      </w: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>L’USEP centralise les demandes d’agréments pour les accompagnateurs bénévoles à vélo.</w:t>
      </w: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>Les CPC organisent une session d’agréments sous l’autorité du DASEN.</w:t>
      </w: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 xml:space="preserve">L’USEP aide à la sécurisation des dispositifs mis en </w:t>
      </w:r>
      <w:proofErr w:type="spellStart"/>
      <w:r w:rsidRPr="006F320C">
        <w:rPr>
          <w:rFonts w:ascii="LiberationSerif" w:hAnsi="LiberationSerif" w:cs="LiberationSerif"/>
          <w:color w:val="000000"/>
          <w:sz w:val="24"/>
          <w:szCs w:val="24"/>
        </w:rPr>
        <w:t>oeuvre</w:t>
      </w:r>
      <w:proofErr w:type="spellEnd"/>
      <w:r w:rsidRPr="006F320C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6F320C" w:rsidRPr="006F320C" w:rsidRDefault="006F320C" w:rsidP="008356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6F320C">
        <w:rPr>
          <w:rFonts w:ascii="LiberationSerif" w:hAnsi="LiberationSerif" w:cs="LiberationSerif"/>
          <w:color w:val="000000"/>
          <w:sz w:val="24"/>
          <w:szCs w:val="24"/>
        </w:rPr>
        <w:t>L’USEP centralise tous les projets et les communique aux autorités co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 xml:space="preserve">ncernées (préfecture, </w:t>
      </w:r>
      <w:r w:rsidRPr="006F320C">
        <w:rPr>
          <w:rFonts w:ascii="LiberationSerif" w:hAnsi="LiberationSerif" w:cs="LiberationSerif"/>
          <w:color w:val="000000"/>
          <w:sz w:val="24"/>
          <w:szCs w:val="24"/>
        </w:rPr>
        <w:t>gendarmerie, police, mairies, collectivités).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</w:p>
    <w:p w:rsidR="006F320C" w:rsidRDefault="006F320C" w:rsidP="0083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Exemples de manifestations « P’tit Tour USEP »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C000" w:themeColor="accent4"/>
          <w:sz w:val="24"/>
          <w:szCs w:val="24"/>
        </w:rPr>
      </w:pPr>
      <w:r w:rsidRPr="0083567E">
        <w:rPr>
          <w:rFonts w:ascii="LiberationSerif-Bold" w:hAnsi="LiberationSerif-Bold" w:cs="LiberationSerif-Bold"/>
          <w:b/>
          <w:bCs/>
          <w:color w:val="FFC000" w:themeColor="accent4"/>
          <w:sz w:val="24"/>
          <w:szCs w:val="24"/>
        </w:rPr>
        <w:t>Exemple 1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 écoles se situent à proximité du parcours d’une ancienne voie fer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rée désaffectée mais praticable </w:t>
      </w:r>
      <w:r>
        <w:rPr>
          <w:rFonts w:ascii="LiberationSerif" w:hAnsi="LiberationSerif" w:cs="LiberationSerif"/>
          <w:color w:val="000000"/>
          <w:sz w:val="24"/>
          <w:szCs w:val="24"/>
        </w:rPr>
        <w:t>comme sentier (pédestre ou VTT). Elles décident de s’y retrouver à un point équidistant et d’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en </w:t>
      </w:r>
      <w:r>
        <w:rPr>
          <w:rFonts w:ascii="LiberationSerif" w:hAnsi="LiberationSerif" w:cs="LiberationSerif"/>
          <w:color w:val="000000"/>
          <w:sz w:val="24"/>
          <w:szCs w:val="24"/>
        </w:rPr>
        <w:t>faire une partie en commun en VTT.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Au retour, elles exploiteront les photos de quelques ouvrages d’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art (ponts, quais, bâtiments de </w:t>
      </w:r>
      <w:r>
        <w:rPr>
          <w:rFonts w:ascii="LiberationSerif" w:hAnsi="LiberationSerif" w:cs="LiberationSerif"/>
          <w:color w:val="000000"/>
          <w:sz w:val="24"/>
          <w:szCs w:val="24"/>
        </w:rPr>
        <w:t>stockage) et la situeront sur une carte. Elles produisent un texte d’in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formations sur le rôle de cette </w:t>
      </w:r>
      <w:r>
        <w:rPr>
          <w:rFonts w:ascii="LiberationSerif" w:hAnsi="LiberationSerif" w:cs="LiberationSerif"/>
          <w:color w:val="000000"/>
          <w:sz w:val="24"/>
          <w:szCs w:val="24"/>
        </w:rPr>
        <w:t>voie ferrée dans l’économie locale.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70C0"/>
          <w:sz w:val="24"/>
          <w:szCs w:val="24"/>
        </w:rPr>
      </w:pPr>
      <w:r w:rsidRPr="0083567E">
        <w:rPr>
          <w:rFonts w:ascii="LiberationSerif-Bold" w:hAnsi="LiberationSerif-Bold" w:cs="LiberationSerif-Bold"/>
          <w:b/>
          <w:bCs/>
          <w:color w:val="0070C0"/>
          <w:sz w:val="24"/>
          <w:szCs w:val="24"/>
        </w:rPr>
        <w:t>Exemple 2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 écoles se trouvent à équidistance d’un point élevé qui permet d’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observer un paysage commun, de </w:t>
      </w:r>
      <w:r>
        <w:rPr>
          <w:rFonts w:ascii="LiberationSerif" w:hAnsi="LiberationSerif" w:cs="LiberationSerif"/>
          <w:color w:val="000000"/>
          <w:sz w:val="24"/>
          <w:szCs w:val="24"/>
        </w:rPr>
        <w:t>le photographier et ensuite de l’étudier.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Elles s’y rendent à pied. Au retour, elles étudient les photos pour mieux comprendre l’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organisation </w:t>
      </w:r>
      <w:r>
        <w:rPr>
          <w:rFonts w:ascii="LiberationSerif" w:hAnsi="LiberationSerif" w:cs="LiberationSerif"/>
          <w:color w:val="000000"/>
          <w:sz w:val="24"/>
          <w:szCs w:val="24"/>
        </w:rPr>
        <w:t>du paysage. Elles échangent leurs productions qui consistent à une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interprétation des éléments du </w:t>
      </w:r>
      <w:r>
        <w:rPr>
          <w:rFonts w:ascii="LiberationSerif" w:hAnsi="LiberationSerif" w:cs="LiberationSerif"/>
          <w:color w:val="000000"/>
          <w:sz w:val="24"/>
          <w:szCs w:val="24"/>
        </w:rPr>
        <w:t>paysage.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92D050"/>
          <w:sz w:val="24"/>
          <w:szCs w:val="24"/>
        </w:rPr>
      </w:pPr>
      <w:r w:rsidRPr="0083567E">
        <w:rPr>
          <w:rFonts w:ascii="LiberationSerif-Bold" w:hAnsi="LiberationSerif-Bold" w:cs="LiberationSerif-Bold"/>
          <w:b/>
          <w:bCs/>
          <w:color w:val="92D050"/>
          <w:sz w:val="24"/>
          <w:szCs w:val="24"/>
        </w:rPr>
        <w:t>Exemple 3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Plusieurs écoles sont à proximité de la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véloroute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 xml:space="preserve">. Elles la rejoignent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à vélo et réalisent un parcours </w:t>
      </w:r>
      <w:r>
        <w:rPr>
          <w:rFonts w:ascii="LiberationSerif" w:hAnsi="LiberationSerif" w:cs="LiberationSerif"/>
          <w:color w:val="000000"/>
          <w:sz w:val="24"/>
          <w:szCs w:val="24"/>
        </w:rPr>
        <w:t>aller-retour d’une trentaine de kilomètres. Le repas est pris en commun à midi.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Au retour elles exploitent des vues de la vallée du Doubs. Elles produ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isent des textes pour présenter </w:t>
      </w:r>
      <w:r>
        <w:rPr>
          <w:rFonts w:ascii="LiberationSerif" w:hAnsi="LiberationSerif" w:cs="LiberationSerif"/>
          <w:color w:val="000000"/>
          <w:sz w:val="24"/>
          <w:szCs w:val="24"/>
        </w:rPr>
        <w:t>les conditions d’installations d’industries et leur déclin.</w:t>
      </w: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FF0000"/>
          <w:sz w:val="24"/>
          <w:szCs w:val="24"/>
        </w:rPr>
      </w:pPr>
      <w:r w:rsidRPr="0083567E">
        <w:rPr>
          <w:rFonts w:ascii="LiberationSerif-Bold" w:hAnsi="LiberationSerif-Bold" w:cs="LiberationSerif-Bold"/>
          <w:b/>
          <w:bCs/>
          <w:color w:val="FF0000"/>
          <w:sz w:val="24"/>
          <w:szCs w:val="24"/>
        </w:rPr>
        <w:t>Exemple 4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Plusieurs écoles proches, constituées en écoles intercommuna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>les, couvrent un territoire qui c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omprend un grand nombre de villages. Elles décident de 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>créer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un 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parcours qui passe par tous les </w:t>
      </w:r>
      <w:r>
        <w:rPr>
          <w:rFonts w:ascii="LiberationSerif" w:hAnsi="LiberationSerif" w:cs="LiberationSerif"/>
          <w:color w:val="000000"/>
          <w:sz w:val="24"/>
          <w:szCs w:val="24"/>
        </w:rPr>
        <w:t>villages et se retrouvent pour le repas de midi.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Au retour, elles se partagent une tâche de production d’un dép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liant de présentation des sites </w:t>
      </w:r>
      <w:r>
        <w:rPr>
          <w:rFonts w:ascii="LiberationSerif" w:hAnsi="LiberationSerif" w:cs="LiberationSerif"/>
          <w:color w:val="000000"/>
          <w:sz w:val="24"/>
          <w:szCs w:val="24"/>
        </w:rPr>
        <w:t>remarquables des villages.</w:t>
      </w:r>
    </w:p>
    <w:p w:rsidR="0083567E" w:rsidRDefault="0083567E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F320C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7030A0"/>
          <w:sz w:val="24"/>
          <w:szCs w:val="24"/>
        </w:rPr>
      </w:pPr>
      <w:r w:rsidRPr="0083567E">
        <w:rPr>
          <w:rFonts w:ascii="LiberationSerif-Bold" w:hAnsi="LiberationSerif-Bold" w:cs="LiberationSerif-Bold"/>
          <w:b/>
          <w:bCs/>
          <w:color w:val="7030A0"/>
          <w:sz w:val="24"/>
          <w:szCs w:val="24"/>
        </w:rPr>
        <w:t>Exemple 5</w:t>
      </w:r>
    </w:p>
    <w:p w:rsidR="006F320C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Des classes maternelles, proches de la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</w:rPr>
        <w:t>véloroute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</w:rPr>
        <w:t>, décident de s’y re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ndre à pied. Des parents et des </w:t>
      </w:r>
      <w:r>
        <w:rPr>
          <w:rFonts w:ascii="LiberationSerif" w:hAnsi="LiberationSerif" w:cs="LiberationSerif"/>
          <w:color w:val="000000"/>
          <w:sz w:val="24"/>
          <w:szCs w:val="24"/>
        </w:rPr>
        <w:t>employés de la ville acheminent des engins roulants. Les enfants peu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vent exploiter sur la </w:t>
      </w:r>
      <w:proofErr w:type="spellStart"/>
      <w:r w:rsidR="0083567E">
        <w:rPr>
          <w:rFonts w:ascii="LiberationSerif" w:hAnsi="LiberationSerif" w:cs="LiberationSerif"/>
          <w:color w:val="000000"/>
          <w:sz w:val="24"/>
          <w:szCs w:val="24"/>
        </w:rPr>
        <w:t>véloroute</w:t>
      </w:r>
      <w:proofErr w:type="spellEnd"/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des vélos, des trottinettes, des draisiennes, des porteurs et la marc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he à pied. Les enfants pourront </w:t>
      </w:r>
      <w:r>
        <w:rPr>
          <w:rFonts w:ascii="LiberationSerif" w:hAnsi="LiberationSerif" w:cs="LiberationSerif"/>
          <w:color w:val="000000"/>
          <w:sz w:val="24"/>
          <w:szCs w:val="24"/>
        </w:rPr>
        <w:t>aussi en comparer les allures et les couts énergétiques des différents modes de déplacements.</w:t>
      </w:r>
    </w:p>
    <w:p w:rsidR="0038047A" w:rsidRPr="0083567E" w:rsidRDefault="006F320C" w:rsidP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Ces exemples ne demandent qu’à être multipliés sous des formes dif</w:t>
      </w:r>
      <w:r w:rsidR="0083567E">
        <w:rPr>
          <w:rFonts w:ascii="LiberationSerif" w:hAnsi="LiberationSerif" w:cs="LiberationSerif"/>
          <w:color w:val="000000"/>
          <w:sz w:val="24"/>
          <w:szCs w:val="24"/>
        </w:rPr>
        <w:t xml:space="preserve">férentes ou proches et adaptées </w:t>
      </w:r>
      <w:r>
        <w:rPr>
          <w:rFonts w:ascii="LiberationSerif" w:hAnsi="LiberationSerif" w:cs="LiberationSerif"/>
          <w:color w:val="000000"/>
          <w:sz w:val="24"/>
          <w:szCs w:val="24"/>
        </w:rPr>
        <w:t>à votre environnement et à votre projet.</w:t>
      </w:r>
    </w:p>
    <w:p w:rsidR="0083567E" w:rsidRPr="0083567E" w:rsidRDefault="0083567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bookmarkStart w:id="0" w:name="_GoBack"/>
      <w:bookmarkEnd w:id="0"/>
    </w:p>
    <w:sectPr w:rsidR="0083567E" w:rsidRPr="0083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156"/>
    <w:multiLevelType w:val="hybridMultilevel"/>
    <w:tmpl w:val="8D0A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C"/>
    <w:rsid w:val="0038047A"/>
    <w:rsid w:val="006F320C"/>
    <w:rsid w:val="008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4151-949D-4710-A1C0-BA370B12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usep</cp:lastModifiedBy>
  <cp:revision>1</cp:revision>
  <dcterms:created xsi:type="dcterms:W3CDTF">2018-03-20T14:14:00Z</dcterms:created>
  <dcterms:modified xsi:type="dcterms:W3CDTF">2018-03-20T14:29:00Z</dcterms:modified>
</cp:coreProperties>
</file>